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6A0DA4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301C53">
        <w:rPr>
          <w:rFonts w:ascii="Times New Roman" w:hAnsi="Times New Roman" w:cs="Times New Roman"/>
          <w:b/>
          <w:sz w:val="24"/>
          <w:szCs w:val="24"/>
        </w:rPr>
        <w:t>Кусее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6A0DA4" w:rsidRPr="006A0DA4">
        <w:rPr>
          <w:rFonts w:ascii="Times New Roman" w:hAnsi="Times New Roman" w:cs="Times New Roman"/>
          <w:sz w:val="24"/>
          <w:szCs w:val="24"/>
        </w:rPr>
        <w:t>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01C53">
        <w:rPr>
          <w:rFonts w:ascii="Times New Roman" w:hAnsi="Times New Roman" w:cs="Times New Roman"/>
          <w:sz w:val="24"/>
          <w:szCs w:val="24"/>
        </w:rPr>
        <w:t>Кусее</w:t>
      </w:r>
      <w:r w:rsidR="0083677C">
        <w:rPr>
          <w:rFonts w:ascii="Times New Roman" w:hAnsi="Times New Roman" w:cs="Times New Roman"/>
          <w:sz w:val="24"/>
          <w:szCs w:val="24"/>
        </w:rPr>
        <w:t>евского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A0DA4">
        <w:rPr>
          <w:rFonts w:ascii="Times New Roman" w:hAnsi="Times New Roman" w:cs="Times New Roman"/>
          <w:sz w:val="24"/>
          <w:szCs w:val="24"/>
        </w:rPr>
        <w:t>1911,0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E7427">
        <w:rPr>
          <w:rFonts w:ascii="Times New Roman" w:hAnsi="Times New Roman" w:cs="Times New Roman"/>
          <w:sz w:val="24"/>
          <w:szCs w:val="24"/>
        </w:rPr>
        <w:t>6</w:t>
      </w:r>
      <w:r w:rsidR="006A0DA4">
        <w:rPr>
          <w:rFonts w:ascii="Times New Roman" w:hAnsi="Times New Roman" w:cs="Times New Roman"/>
          <w:sz w:val="24"/>
          <w:szCs w:val="24"/>
        </w:rPr>
        <w:t>2,08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301C5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2E7427">
        <w:rPr>
          <w:rFonts w:ascii="Times New Roman" w:hAnsi="Times New Roman" w:cs="Times New Roman"/>
          <w:sz w:val="24"/>
          <w:szCs w:val="24"/>
        </w:rPr>
        <w:t>1,2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6D0895">
        <w:rPr>
          <w:rFonts w:ascii="Times New Roman" w:hAnsi="Times New Roman" w:cs="Times New Roman"/>
          <w:sz w:val="24"/>
          <w:szCs w:val="24"/>
        </w:rPr>
        <w:t>1</w:t>
      </w:r>
      <w:r w:rsidR="002E7427">
        <w:rPr>
          <w:rFonts w:ascii="Times New Roman" w:hAnsi="Times New Roman" w:cs="Times New Roman"/>
          <w:sz w:val="24"/>
          <w:szCs w:val="24"/>
        </w:rPr>
        <w:t>,</w:t>
      </w:r>
      <w:r w:rsidR="006A0DA4">
        <w:rPr>
          <w:rFonts w:ascii="Times New Roman" w:hAnsi="Times New Roman" w:cs="Times New Roman"/>
          <w:sz w:val="24"/>
          <w:szCs w:val="24"/>
        </w:rPr>
        <w:t>59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301C53">
        <w:rPr>
          <w:rFonts w:ascii="Times New Roman" w:hAnsi="Times New Roman" w:cs="Times New Roman"/>
          <w:sz w:val="24"/>
          <w:szCs w:val="24"/>
        </w:rPr>
        <w:t>в</w:t>
      </w:r>
      <w:r w:rsidR="00591D91">
        <w:rPr>
          <w:rFonts w:ascii="Times New Roman" w:hAnsi="Times New Roman" w:cs="Times New Roman"/>
          <w:sz w:val="24"/>
          <w:szCs w:val="24"/>
        </w:rPr>
        <w:t xml:space="preserve"> структуре налоговых и неналоговых доходов;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2E7427">
        <w:rPr>
          <w:rFonts w:ascii="Times New Roman" w:hAnsi="Times New Roman" w:cs="Times New Roman"/>
          <w:sz w:val="24"/>
          <w:szCs w:val="24"/>
        </w:rPr>
        <w:t>1</w:t>
      </w:r>
      <w:r w:rsidR="006A0DA4">
        <w:rPr>
          <w:rFonts w:ascii="Times New Roman" w:hAnsi="Times New Roman" w:cs="Times New Roman"/>
          <w:sz w:val="24"/>
          <w:szCs w:val="24"/>
        </w:rPr>
        <w:t>6,2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6A0DA4">
        <w:rPr>
          <w:rFonts w:ascii="Times New Roman" w:hAnsi="Times New Roman" w:cs="Times New Roman"/>
          <w:sz w:val="24"/>
          <w:szCs w:val="24"/>
        </w:rPr>
        <w:t>52,44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6A0DA4">
        <w:rPr>
          <w:rFonts w:ascii="Times New Roman" w:hAnsi="Times New Roman" w:cs="Times New Roman"/>
          <w:sz w:val="24"/>
          <w:szCs w:val="24"/>
        </w:rPr>
        <w:t>12,4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тыс.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руб,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A0DA4">
        <w:rPr>
          <w:rFonts w:ascii="Times New Roman" w:hAnsi="Times New Roman" w:cs="Times New Roman"/>
          <w:sz w:val="24"/>
          <w:szCs w:val="24"/>
        </w:rPr>
        <w:t>15,87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6A0DA4">
        <w:rPr>
          <w:rFonts w:ascii="Times New Roman" w:hAnsi="Times New Roman" w:cs="Times New Roman"/>
          <w:sz w:val="24"/>
          <w:szCs w:val="24"/>
        </w:rPr>
        <w:t>1877,8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рублей, что составляет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6A0DA4">
        <w:rPr>
          <w:rFonts w:ascii="Times New Roman" w:hAnsi="Times New Roman" w:cs="Times New Roman"/>
          <w:sz w:val="24"/>
          <w:szCs w:val="24"/>
        </w:rPr>
        <w:t>65,15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6A0DA4">
        <w:rPr>
          <w:rFonts w:ascii="Times New Roman" w:hAnsi="Times New Roman" w:cs="Times New Roman"/>
          <w:sz w:val="24"/>
          <w:szCs w:val="24"/>
        </w:rPr>
        <w:t>августа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6A0DA4" w:rsidRPr="008132F1" w:rsidRDefault="005027F3" w:rsidP="006A0D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 xml:space="preserve">на01  </w:t>
      </w:r>
      <w:r w:rsidR="006A0DA4">
        <w:rPr>
          <w:rFonts w:ascii="Times New Roman" w:hAnsi="Times New Roman" w:cs="Times New Roman"/>
          <w:sz w:val="24"/>
          <w:szCs w:val="24"/>
        </w:rPr>
        <w:t>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A0DA4">
        <w:rPr>
          <w:rFonts w:ascii="Times New Roman" w:hAnsi="Times New Roman" w:cs="Times New Roman"/>
          <w:sz w:val="24"/>
          <w:szCs w:val="24"/>
        </w:rPr>
        <w:t>1588,0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6A0DA4">
        <w:rPr>
          <w:rFonts w:ascii="Times New Roman" w:hAnsi="Times New Roman" w:cs="Times New Roman"/>
          <w:sz w:val="24"/>
          <w:szCs w:val="24"/>
        </w:rPr>
        <w:t>49,2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6A0DA4">
        <w:rPr>
          <w:rFonts w:ascii="Times New Roman" w:hAnsi="Times New Roman" w:cs="Times New Roman"/>
          <w:sz w:val="24"/>
          <w:szCs w:val="24"/>
        </w:rPr>
        <w:t xml:space="preserve"> </w:t>
      </w:r>
      <w:r w:rsidR="006A0DA4"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6A0DA4">
        <w:rPr>
          <w:rFonts w:ascii="Times New Roman" w:hAnsi="Times New Roman" w:cs="Times New Roman"/>
          <w:sz w:val="24"/>
          <w:szCs w:val="24"/>
        </w:rPr>
        <w:t>Из них дорожные фонды составляет -104,9 тыс.руб. что составляет- 60,02%, благоустройство составляет-113,3 тыс.руб., что составляет-21,57%,  другие вопросы в области охраны окруж. среды составляет-207,2 тыс.руб., что составляет-70,38% и т.д.</w:t>
      </w:r>
    </w:p>
    <w:p w:rsidR="006A0DA4" w:rsidRPr="008132F1" w:rsidRDefault="006A0DA4" w:rsidP="006A0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53AC"/>
    <w:rsid w:val="002C7D18"/>
    <w:rsid w:val="002E7427"/>
    <w:rsid w:val="002F1C73"/>
    <w:rsid w:val="00301C5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4F5081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0DA4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438D8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779C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22</cp:revision>
  <cp:lastPrinted>2019-06-13T04:02:00Z</cp:lastPrinted>
  <dcterms:created xsi:type="dcterms:W3CDTF">2020-05-14T03:53:00Z</dcterms:created>
  <dcterms:modified xsi:type="dcterms:W3CDTF">2020-08-13T11:02:00Z</dcterms:modified>
</cp:coreProperties>
</file>